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bookmarkStart w:id="0" w:name="_gjdgxs" w:colFirst="0" w:colLast="0"/>
      <w:bookmarkEnd w:id="0"/>
      <w:r>
        <w:rPr>
          <w:color w:val="000000"/>
        </w:rPr>
        <w:t>Перед началом квотной кампании работодатели получат уведомление на ЕЦП «Работа в России»: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firstLine="709"/>
        <w:rPr>
          <w:color w:val="000000"/>
        </w:rPr>
      </w:pPr>
      <w:r w:rsidRPr="009D1169">
        <w:rPr>
          <w:color w:val="FF0000"/>
        </w:rPr>
        <w:t xml:space="preserve">С </w:t>
      </w:r>
      <w:r w:rsidR="001F0042">
        <w:rPr>
          <w:color w:val="FF0000"/>
        </w:rPr>
        <w:t>апреля</w:t>
      </w:r>
      <w:bookmarkStart w:id="1" w:name="_GoBack"/>
      <w:bookmarkEnd w:id="1"/>
      <w:r w:rsidRPr="009D1169">
        <w:rPr>
          <w:color w:val="FF0000"/>
        </w:rPr>
        <w:t xml:space="preserve"> 2025 </w:t>
      </w:r>
      <w:r>
        <w:rPr>
          <w:color w:val="000000"/>
        </w:rPr>
        <w:t xml:space="preserve">года на портале «Работа России» стартует кампания по подаче заявок на квоту для целевого обучения на </w:t>
      </w:r>
      <w:r w:rsidRPr="009D1169">
        <w:rPr>
          <w:color w:val="FF0000"/>
        </w:rPr>
        <w:t>2026 учебный год</w:t>
      </w:r>
      <w:r>
        <w:rPr>
          <w:color w:val="000000"/>
        </w:rPr>
        <w:t>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 xml:space="preserve">Если заявка не будет подана в установленный срок </w:t>
      </w:r>
      <w:r w:rsidRPr="009D1169">
        <w:rPr>
          <w:b/>
          <w:color w:val="FF0000"/>
        </w:rPr>
        <w:t xml:space="preserve">(до </w:t>
      </w:r>
      <w:r w:rsidR="001F0042">
        <w:rPr>
          <w:b/>
          <w:color w:val="FF0000"/>
        </w:rPr>
        <w:t>14 мая</w:t>
      </w:r>
      <w:r w:rsidRPr="009D1169">
        <w:rPr>
          <w:b/>
          <w:color w:val="FF0000"/>
        </w:rPr>
        <w:t xml:space="preserve"> 2025 года),</w:t>
      </w:r>
      <w:r w:rsidRPr="009D1169">
        <w:rPr>
          <w:color w:val="FF0000"/>
        </w:rPr>
        <w:t xml:space="preserve"> </w:t>
      </w:r>
      <w:r>
        <w:rPr>
          <w:color w:val="000000"/>
        </w:rPr>
        <w:t>организация не сможет получить квоту.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Перед подачей заявки необходимо указать в профиле компании ОКВЭД, форму собственности и категорию заказчика целевого обучения.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Подать заявку могут как заказчики целевого обучения, так и работодатели, не относящиеся к заказчикам целевого обучения.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rPr>
          <w:color w:val="000000"/>
        </w:rPr>
      </w:pPr>
      <w:r>
        <w:rPr>
          <w:color w:val="000000"/>
        </w:rPr>
        <w:t>Подробная информация о порядке подачи заявок и сроках доступна на информационной странице портала.</w:t>
      </w:r>
    </w:p>
    <w:p w:rsidR="003A6896" w:rsidRDefault="003A6896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firstLine="709"/>
        <w:rPr>
          <w:color w:val="000000"/>
        </w:rPr>
      </w:pPr>
    </w:p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Для подачи заявки о кадровой потребности, компаниям необходимо указать в своём профиле:</w:t>
      </w:r>
    </w:p>
    <w:p w:rsidR="003A6896" w:rsidRDefault="009D1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ОКВЭД;</w:t>
      </w:r>
    </w:p>
    <w:p w:rsidR="003A6896" w:rsidRDefault="009D1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 xml:space="preserve">форму собственности; </w:t>
      </w:r>
    </w:p>
    <w:p w:rsidR="003A6896" w:rsidRDefault="009D1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</w:pPr>
      <w:r>
        <w:rPr>
          <w:color w:val="000000"/>
        </w:rPr>
        <w:t xml:space="preserve"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для компаний, планирующих выступать исключительно местом осуществления трудовой деятельности гражданина, заполнение не требуется). При указании категории профиль компании направляется в орган СЗН для подтверждения корректности выбора. Об окончании </w:t>
      </w:r>
      <w:proofErr w:type="spellStart"/>
      <w:r>
        <w:rPr>
          <w:color w:val="000000"/>
        </w:rPr>
        <w:t>модерации</w:t>
      </w:r>
      <w:proofErr w:type="spellEnd"/>
      <w:r>
        <w:rPr>
          <w:color w:val="000000"/>
        </w:rPr>
        <w:t xml:space="preserve"> компания получит уведомление.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44208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 – Переход на страницу с данными компании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11633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2 – Кнопка «Редактировать профиль»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697420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3 – Поля в профиле компании, необходимые для подачи заявки о кадровой потребности заказчиками и работодателями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641731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4 – Отметка о соответствии компании одной из категорий, указанных в статье 71.1 ФЗ «Об образовании в Российской Федерации»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638746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5 – Окно выбора одной из категорий, указанных в статье 71.1 ФЗ «Об образовании в Российской Федерации»</w:t>
      </w:r>
    </w:p>
    <w:p w:rsidR="003A6896" w:rsidRDefault="009D1169">
      <w:pPr>
        <w:ind w:left="567" w:firstLine="0"/>
      </w:pPr>
      <w:r>
        <w:br w:type="page"/>
      </w:r>
    </w:p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Заполнение формы заявки о кадровой потребности: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564324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 xml:space="preserve">6 – Окно выбора роли компании 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rPr>
          <w:color w:val="000000"/>
        </w:rP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51181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7 – Информационное сообщение для заказчиков, не заполнивших необходимые данные в профиле компании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61264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8 – Информационное сообщение для работодателей, не заполнивших необходимые данные в профиле компании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 w:rsidR="003A6896" w:rsidRDefault="003A689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72050" cy="427672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9 – Блок «Последующее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25831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10 – Блок «Последующее трудоустройство граждан», заполнение заказчиком целевого обучения, планирующим трудоустройство граждан другую компанию</w:t>
      </w:r>
    </w:p>
    <w:p w:rsidR="003A6896" w:rsidRDefault="003A6896"/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69481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11 – Окно поиска компании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Далее заполняются характеристики обучения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67350" cy="6029325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12 – Блок с выбором характеристик обучения необходимых кадров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  <w:r>
        <w:br w:type="page"/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Последний блок – согласующие центры ответственности. Административный центр ответственности (при его налич</w:t>
      </w:r>
      <w:proofErr w:type="gramStart"/>
      <w:r>
        <w:rPr>
          <w:color w:val="000000"/>
        </w:rPr>
        <w:t>ии у о</w:t>
      </w:r>
      <w:proofErr w:type="gramEnd"/>
      <w:r>
        <w:rPr>
          <w:color w:val="000000"/>
        </w:rPr>
        <w:t xml:space="preserve">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proofErr w:type="spellStart"/>
      <w:r>
        <w:rPr>
          <w:color w:val="000000"/>
        </w:rPr>
        <w:t>предзаполнен</w:t>
      </w:r>
      <w:proofErr w:type="spellEnd"/>
      <w:r>
        <w:rPr>
          <w:color w:val="000000"/>
        </w:rPr>
        <w:t xml:space="preserve"> не для всех компаний. В случае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если данное поле не </w:t>
      </w:r>
      <w:proofErr w:type="spellStart"/>
      <w:r>
        <w:rPr>
          <w:color w:val="000000"/>
        </w:rPr>
        <w:t>предзаполнено</w:t>
      </w:r>
      <w:proofErr w:type="spellEnd"/>
      <w:r>
        <w:rPr>
          <w:color w:val="000000"/>
        </w:rPr>
        <w:t>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3A6896" w:rsidRDefault="003A6896">
      <w:pPr>
        <w:ind w:left="567" w:firstLine="0"/>
      </w:pP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91200" cy="36195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13 – Блок согласование</w:t>
      </w:r>
    </w:p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Подача заявки работодателем.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143500" cy="4400550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14 - Блок «Последующее трудоустройство граждан», заполнение работодателем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Блок «Характеристики обучения» аналогичен форме, заполняемой заказчиком.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 w:line="276" w:lineRule="auto"/>
      </w:pPr>
      <w:r>
        <w:rPr>
          <w:color w:val="000000"/>
        </w:rP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6850" cy="312420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15 – Блок «Обязательства»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Блок выбора заказчика целевого обучения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15025" cy="19431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16 – Блок выбора заказчика целевого обучения</w:t>
      </w:r>
    </w:p>
    <w:p w:rsidR="003A6896" w:rsidRDefault="009D116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color w:val="000000"/>
        </w:rPr>
        <w:t>Блок «Согласование» аналогичен форме, заполняемой заказчиком.</w:t>
      </w:r>
    </w:p>
    <w:p w:rsidR="003A6896" w:rsidRDefault="009D1169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1701" w:hanging="425"/>
        <w:rPr>
          <w:color w:val="000000"/>
        </w:rPr>
      </w:pPr>
      <w:r>
        <w:br w:type="page"/>
      </w:r>
    </w:p>
    <w:p w:rsidR="003A6896" w:rsidRDefault="009D11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</w:pPr>
      <w:r>
        <w:rPr>
          <w:color w:val="000000"/>
        </w:rPr>
        <w:lastRenderedPageBreak/>
        <w:t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05765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17 – Просмотр заявок в личном кабинете регионального отраслевого органа</w:t>
      </w:r>
    </w:p>
    <w:p w:rsidR="003A6896" w:rsidRDefault="003A6896">
      <w:pPr>
        <w:pBdr>
          <w:top w:val="nil"/>
          <w:left w:val="nil"/>
          <w:bottom w:val="nil"/>
          <w:right w:val="nil"/>
          <w:between w:val="nil"/>
        </w:pBdr>
        <w:spacing w:before="120" w:after="60" w:line="276" w:lineRule="auto"/>
        <w:ind w:firstLine="709"/>
        <w:rPr>
          <w:color w:val="000000"/>
        </w:rPr>
      </w:pPr>
    </w:p>
    <w:p w:rsidR="003A6896" w:rsidRDefault="009D1169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1145540"/>
            <wp:effectExtent l="0" t="0" r="0" b="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896" w:rsidRDefault="009D1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/>
        <w:jc w:val="center"/>
      </w:pPr>
      <w:r>
        <w:rPr>
          <w:b/>
          <w:color w:val="000000"/>
        </w:rPr>
        <w:t>18 – Действия с заявками</w:t>
      </w:r>
    </w:p>
    <w:p w:rsidR="003A6896" w:rsidRDefault="003A6896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4472C4"/>
          <w:sz w:val="18"/>
          <w:szCs w:val="18"/>
        </w:rPr>
      </w:pPr>
    </w:p>
    <w:sectPr w:rsidR="003A689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070F5"/>
    <w:multiLevelType w:val="multilevel"/>
    <w:tmpl w:val="6008778E"/>
    <w:lvl w:ilvl="0">
      <w:start w:val="1"/>
      <w:numFmt w:val="decimal"/>
      <w:lvlText w:val="Рисунок 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542DC3"/>
    <w:multiLevelType w:val="multilevel"/>
    <w:tmpl w:val="9EC8C86E"/>
    <w:lvl w:ilvl="0">
      <w:start w:val="1"/>
      <w:numFmt w:val="decimal"/>
      <w:lvlText w:val="%1."/>
      <w:lvlJc w:val="left"/>
      <w:pPr>
        <w:ind w:left="1134" w:hanging="42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1701" w:hanging="56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10" w:hanging="70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402" w:hanging="99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ind w:left="1021" w:hanging="312"/>
      </w:pPr>
    </w:lvl>
    <w:lvl w:ilvl="6">
      <w:start w:val="1"/>
      <w:numFmt w:val="decimal"/>
      <w:lvlText w:val="%1.%2.%3.%4.%5.%6.%7"/>
      <w:lvlJc w:val="left"/>
      <w:pPr>
        <w:ind w:left="1021" w:hanging="312"/>
      </w:pPr>
    </w:lvl>
    <w:lvl w:ilvl="7">
      <w:start w:val="1"/>
      <w:numFmt w:val="decimal"/>
      <w:lvlText w:val="%1.%2.%3.%4.%5.%6.%7.%8"/>
      <w:lvlJc w:val="left"/>
      <w:pPr>
        <w:ind w:left="1021" w:hanging="312"/>
      </w:pPr>
    </w:lvl>
    <w:lvl w:ilvl="8">
      <w:start w:val="1"/>
      <w:numFmt w:val="decimal"/>
      <w:lvlText w:val="%1.%2.%3.%4.%5.%6.%7.%8.%9"/>
      <w:lvlJc w:val="left"/>
      <w:pPr>
        <w:ind w:left="1021" w:hanging="312"/>
      </w:pPr>
    </w:lvl>
  </w:abstractNum>
  <w:abstractNum w:abstractNumId="2">
    <w:nsid w:val="794E7CFA"/>
    <w:multiLevelType w:val="multilevel"/>
    <w:tmpl w:val="C0A6333A"/>
    <w:lvl w:ilvl="0">
      <w:start w:val="1"/>
      <w:numFmt w:val="bullet"/>
      <w:lvlText w:val="–"/>
      <w:lvlJc w:val="left"/>
      <w:pPr>
        <w:ind w:left="1049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A6896"/>
    <w:rsid w:val="001F0042"/>
    <w:rsid w:val="003A6896"/>
    <w:rsid w:val="009D1169"/>
    <w:rsid w:val="00CA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ageBreakBefore/>
      <w:pBdr>
        <w:top w:val="nil"/>
        <w:left w:val="nil"/>
        <w:bottom w:val="nil"/>
        <w:right w:val="nil"/>
        <w:between w:val="nil"/>
      </w:pBdr>
      <w:spacing w:before="120" w:after="120"/>
      <w:ind w:firstLine="709"/>
      <w:outlineLvl w:val="0"/>
    </w:pPr>
    <w:rPr>
      <w:b/>
      <w:smallCap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before="60" w:after="60"/>
      <w:ind w:firstLine="709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51"/>
        <w:tab w:val="left" w:pos="1701"/>
      </w:tabs>
      <w:spacing w:before="60" w:after="60"/>
      <w:ind w:firstLine="709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126"/>
      </w:tabs>
      <w:ind w:firstLine="709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843"/>
      </w:tabs>
      <w:ind w:firstLine="709"/>
      <w:outlineLvl w:val="4"/>
    </w:pPr>
    <w:rPr>
      <w:b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127"/>
      </w:tabs>
      <w:ind w:firstLine="709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A51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5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ageBreakBefore/>
      <w:pBdr>
        <w:top w:val="nil"/>
        <w:left w:val="nil"/>
        <w:bottom w:val="nil"/>
        <w:right w:val="nil"/>
        <w:between w:val="nil"/>
      </w:pBdr>
      <w:spacing w:before="120" w:after="120"/>
      <w:ind w:firstLine="709"/>
      <w:outlineLvl w:val="0"/>
    </w:pPr>
    <w:rPr>
      <w:b/>
      <w:smallCaps/>
      <w:color w:val="000000"/>
      <w:sz w:val="28"/>
      <w:szCs w:val="2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before="60" w:after="60"/>
      <w:ind w:firstLine="709"/>
      <w:outlineLvl w:val="1"/>
    </w:pPr>
    <w:rPr>
      <w:color w:val="000000"/>
      <w:sz w:val="28"/>
      <w:szCs w:val="28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851"/>
        <w:tab w:val="left" w:pos="1701"/>
      </w:tabs>
      <w:spacing w:before="60" w:after="60"/>
      <w:ind w:firstLine="709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2126"/>
      </w:tabs>
      <w:ind w:firstLine="709"/>
      <w:outlineLvl w:val="3"/>
    </w:pPr>
    <w:rPr>
      <w:b/>
      <w:color w:val="000000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843"/>
      </w:tabs>
      <w:ind w:firstLine="709"/>
      <w:outlineLvl w:val="4"/>
    </w:pPr>
    <w:rPr>
      <w:b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1418"/>
        <w:tab w:val="left" w:pos="2127"/>
      </w:tabs>
      <w:ind w:firstLine="709"/>
      <w:outlineLvl w:val="5"/>
    </w:pPr>
    <w:rPr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A51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5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2025-02-04T02:42:00Z</dcterms:created>
  <dcterms:modified xsi:type="dcterms:W3CDTF">2025-04-29T09:40:00Z</dcterms:modified>
</cp:coreProperties>
</file>